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306E62">
        <w:rPr>
          <w:rFonts w:ascii="Calibri" w:hAnsi="Calibri" w:cs="Arial"/>
          <w:b/>
          <w:bCs/>
          <w:iCs/>
          <w:color w:val="7F7F7F" w:themeColor="text1" w:themeTint="80"/>
          <w:sz w:val="26"/>
          <w:szCs w:val="26"/>
        </w:rPr>
        <w:t>10</w:t>
      </w:r>
      <w:r w:rsidR="00281593">
        <w:rPr>
          <w:rFonts w:ascii="Calibri" w:hAnsi="Calibri" w:cs="Arial"/>
          <w:b/>
          <w:bCs/>
          <w:iCs/>
          <w:color w:val="7F7F7F" w:themeColor="text1" w:themeTint="80"/>
          <w:sz w:val="26"/>
          <w:szCs w:val="26"/>
        </w:rPr>
        <w:t xml:space="preserve"> </w:t>
      </w:r>
      <w:r w:rsidR="00306E62">
        <w:rPr>
          <w:rFonts w:ascii="Calibri" w:hAnsi="Calibri" w:cs="Arial"/>
          <w:b/>
          <w:bCs/>
          <w:iCs/>
          <w:color w:val="7F7F7F" w:themeColor="text1" w:themeTint="80"/>
          <w:sz w:val="26"/>
          <w:szCs w:val="26"/>
        </w:rPr>
        <w:t>diez</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AF59A6">
        <w:rPr>
          <w:rFonts w:ascii="Calibri" w:hAnsi="Calibri" w:cs="Arial"/>
          <w:b/>
          <w:color w:val="7F7F7F" w:themeColor="text1" w:themeTint="80"/>
          <w:sz w:val="26"/>
          <w:szCs w:val="26"/>
        </w:rPr>
        <w:t>524/2015-JN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CD56F6">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D478D7">
        <w:rPr>
          <w:rFonts w:ascii="Calibri" w:hAnsi="Calibri" w:cs="Arial"/>
          <w:color w:val="7F7F7F" w:themeColor="text1" w:themeTint="80"/>
          <w:sz w:val="26"/>
          <w:szCs w:val="26"/>
        </w:rPr>
        <w:t xml:space="preserve">.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AF59A6">
        <w:rPr>
          <w:rFonts w:ascii="Calibri" w:hAnsi="Calibri" w:cs="Arial"/>
          <w:color w:val="7F7F7F" w:themeColor="text1" w:themeTint="80"/>
          <w:sz w:val="26"/>
          <w:szCs w:val="26"/>
        </w:rPr>
        <w:t>15 quince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AF59A6">
        <w:rPr>
          <w:rFonts w:ascii="Calibri" w:hAnsi="Calibri" w:cs="Calibri"/>
          <w:color w:val="7F7F7F" w:themeColor="text1" w:themeTint="80"/>
          <w:sz w:val="26"/>
          <w:szCs w:val="26"/>
        </w:rPr>
        <w:t>15 quince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AF59A6">
        <w:rPr>
          <w:rFonts w:ascii="Calibri" w:hAnsi="Calibri" w:cs="Calibri"/>
          <w:b/>
          <w:color w:val="7F7F7F" w:themeColor="text1" w:themeTint="80"/>
          <w:sz w:val="26"/>
          <w:szCs w:val="26"/>
        </w:rPr>
        <w:t>524/2015-JN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AF59A6">
        <w:rPr>
          <w:rFonts w:ascii="Calibri" w:hAnsi="Calibri"/>
          <w:color w:val="7F7F7F" w:themeColor="text1" w:themeTint="80"/>
          <w:sz w:val="26"/>
          <w:szCs w:val="26"/>
        </w:rPr>
        <w:t>0262</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753AE5">
        <w:rPr>
          <w:rFonts w:ascii="Calibri" w:hAnsi="Calibri"/>
          <w:color w:val="7F7F7F" w:themeColor="text1" w:themeTint="80"/>
          <w:sz w:val="26"/>
          <w:szCs w:val="26"/>
        </w:rPr>
        <w:t>;</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7F5B3D">
        <w:rPr>
          <w:rFonts w:ascii="Calibri" w:hAnsi="Calibri"/>
          <w:color w:val="7F7F7F" w:themeColor="text1" w:themeTint="80"/>
          <w:sz w:val="26"/>
          <w:szCs w:val="26"/>
        </w:rPr>
        <w:t xml:space="preserve">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w:t>
      </w:r>
      <w:r w:rsidR="00EB4186" w:rsidRPr="00EB4186">
        <w:rPr>
          <w:rFonts w:ascii="Calibri" w:hAnsi="Calibri"/>
          <w:bCs/>
          <w:i/>
          <w:iCs/>
          <w:color w:val="7F7F7F" w:themeColor="text1" w:themeTint="80"/>
          <w:sz w:val="26"/>
          <w:szCs w:val="26"/>
        </w:rPr>
        <w:t>“</w:t>
      </w:r>
      <w:r w:rsidRPr="00EB4186">
        <w:rPr>
          <w:rFonts w:ascii="Calibri" w:hAnsi="Calibri"/>
          <w:bCs/>
          <w:i/>
          <w:iCs/>
          <w:color w:val="7F7F7F" w:themeColor="text1" w:themeTint="80"/>
          <w:sz w:val="26"/>
          <w:szCs w:val="26"/>
        </w:rPr>
        <w:t>grosso modo</w:t>
      </w:r>
      <w:r w:rsidR="00EB4186">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del impetrante, toda vez que no demuestra ser titular de un derecho subjetivo y que no le asiste ningún derecho que haya sido vulnerado . . . . . . . . . . . . . . . . . . . . . . . . . . . . . . . . . . </w:t>
      </w:r>
      <w:r w:rsidR="00EB4186">
        <w:rPr>
          <w:rFonts w:ascii="Calibri" w:hAnsi="Calibri"/>
          <w:bCs/>
          <w:iCs/>
          <w:color w:val="7F7F7F" w:themeColor="text1" w:themeTint="80"/>
          <w:sz w:val="26"/>
          <w:szCs w:val="26"/>
        </w:rPr>
        <w:t xml:space="preserve">.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AF59A6">
        <w:rPr>
          <w:rFonts w:ascii="Calibri" w:hAnsi="Calibri"/>
          <w:bCs/>
          <w:iCs/>
          <w:color w:val="7F7F7F" w:themeColor="text1" w:themeTint="80"/>
          <w:sz w:val="26"/>
          <w:szCs w:val="26"/>
        </w:rPr>
        <w:t>0262</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CA30B5">
        <w:rPr>
          <w:rFonts w:ascii="Calibri" w:hAnsi="Calibri"/>
          <w:bCs/>
          <w:iCs/>
          <w:color w:val="7F7F7F" w:themeColor="text1" w:themeTint="80"/>
          <w:sz w:val="26"/>
          <w:szCs w:val="26"/>
        </w:rPr>
        <w:t xml:space="preserve">eventualmente, se le podría imponer una sanción, </w:t>
      </w:r>
      <w:r w:rsidRPr="00781737">
        <w:rPr>
          <w:rFonts w:ascii="Calibri" w:hAnsi="Calibri"/>
          <w:bCs/>
          <w:iCs/>
          <w:color w:val="7F7F7F" w:themeColor="text1" w:themeTint="80"/>
          <w:sz w:val="26"/>
          <w:szCs w:val="26"/>
        </w:rPr>
        <w:t>además de que se clausur</w:t>
      </w:r>
      <w:r w:rsidR="00EB4186">
        <w:rPr>
          <w:rFonts w:ascii="Calibri" w:hAnsi="Calibri"/>
          <w:bCs/>
          <w:iCs/>
          <w:color w:val="7F7F7F" w:themeColor="text1" w:themeTint="80"/>
          <w:sz w:val="26"/>
          <w:szCs w:val="26"/>
        </w:rPr>
        <w:t>aron</w:t>
      </w:r>
      <w:r w:rsidRPr="00781737">
        <w:rPr>
          <w:rFonts w:ascii="Calibri" w:hAnsi="Calibri"/>
          <w:bCs/>
          <w:iCs/>
          <w:color w:val="7F7F7F" w:themeColor="text1" w:themeTint="80"/>
          <w:sz w:val="26"/>
          <w:szCs w:val="26"/>
        </w:rPr>
        <w:t xml:space="preserve"> </w:t>
      </w:r>
      <w:r w:rsidR="003014BF">
        <w:rPr>
          <w:rFonts w:ascii="Calibri" w:hAnsi="Calibri"/>
          <w:bCs/>
          <w:iCs/>
          <w:color w:val="7F7F7F" w:themeColor="text1" w:themeTint="80"/>
          <w:sz w:val="26"/>
          <w:szCs w:val="26"/>
        </w:rPr>
        <w:t>dos</w:t>
      </w:r>
      <w:r w:rsidRPr="00781737">
        <w:rPr>
          <w:rFonts w:ascii="Calibri" w:hAnsi="Calibri"/>
          <w:bCs/>
          <w:iCs/>
          <w:color w:val="7F7F7F" w:themeColor="text1" w:themeTint="80"/>
          <w:sz w:val="26"/>
          <w:szCs w:val="26"/>
        </w:rPr>
        <w:t xml:space="preserve"> máquina</w:t>
      </w:r>
      <w:r w:rsidR="003014BF">
        <w:rPr>
          <w:rFonts w:ascii="Calibri" w:hAnsi="Calibri"/>
          <w:bCs/>
          <w:iCs/>
          <w:color w:val="7F7F7F" w:themeColor="text1" w:themeTint="80"/>
          <w:sz w:val="26"/>
          <w:szCs w:val="26"/>
        </w:rPr>
        <w:t>s</w:t>
      </w:r>
      <w:r w:rsidRPr="00781737">
        <w:rPr>
          <w:rFonts w:ascii="Calibri" w:hAnsi="Calibri"/>
          <w:bCs/>
          <w:iCs/>
          <w:color w:val="7F7F7F" w:themeColor="text1" w:themeTint="80"/>
          <w:sz w:val="26"/>
          <w:szCs w:val="26"/>
        </w:rPr>
        <w:t xml:space="preserve"> de juegos de azar que se encontraba</w:t>
      </w:r>
      <w:r w:rsidR="006965FB">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al interior del establecimiento visitado, lo que sí afecta la esfera de derechos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actor,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w:t>
      </w:r>
      <w:r w:rsidR="00CA30B5">
        <w:rPr>
          <w:rFonts w:ascii="Calibri" w:hAnsi="Calibri"/>
          <w:bCs/>
          <w:iCs/>
          <w:color w:val="7F7F7F" w:themeColor="text1" w:themeTint="80"/>
          <w:sz w:val="26"/>
          <w:szCs w:val="26"/>
        </w:rPr>
        <w:t>es de improcedencia señaladas, el impugnador sí se encuentra legitimado</w:t>
      </w:r>
      <w:r w:rsidRPr="00781737">
        <w:rPr>
          <w:rFonts w:ascii="Calibri" w:hAnsi="Calibri"/>
          <w:bCs/>
          <w:iCs/>
          <w:color w:val="7F7F7F" w:themeColor="text1" w:themeTint="80"/>
          <w:sz w:val="26"/>
          <w:szCs w:val="26"/>
        </w:rPr>
        <w:t xml:space="preserve"> para promover el proceso que nos ocupa. . . . . . . . . . . . . . . .</w:t>
      </w:r>
      <w:r w:rsidR="00EB4186">
        <w:rPr>
          <w:rFonts w:ascii="Calibri" w:hAnsi="Calibri"/>
          <w:bCs/>
          <w:iCs/>
          <w:color w:val="7F7F7F" w:themeColor="text1" w:themeTint="80"/>
          <w:sz w:val="26"/>
          <w:szCs w:val="26"/>
        </w:rPr>
        <w:t xml:space="preserve"> . . . . . . . . . . . . . . . . . . . . . . . . .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EB4186">
        <w:rPr>
          <w:rFonts w:ascii="Calibri" w:hAnsi="Calibri"/>
          <w:bCs/>
          <w:iCs/>
          <w:color w:val="7F7F7F" w:themeColor="text1" w:themeTint="80"/>
          <w:sz w:val="26"/>
          <w:szCs w:val="26"/>
        </w:rPr>
        <w:t xml:space="preserve">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EB4186">
        <w:rPr>
          <w:rFonts w:ascii="Calibri" w:hAnsi="Calibri"/>
          <w:color w:val="7F7F7F" w:themeColor="text1" w:themeTint="80"/>
          <w:sz w:val="26"/>
          <w:szCs w:val="26"/>
        </w:rPr>
        <w:t>e</w:t>
      </w:r>
      <w:r w:rsidR="008B6F66">
        <w:rPr>
          <w:rFonts w:ascii="Calibri" w:hAnsi="Calibri"/>
          <w:color w:val="7F7F7F" w:themeColor="text1" w:themeTint="80"/>
          <w:sz w:val="26"/>
          <w:szCs w:val="26"/>
        </w:rPr>
        <w:t>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AF59A6">
        <w:rPr>
          <w:rFonts w:ascii="Calibri" w:hAnsi="Calibri"/>
          <w:color w:val="7F7F7F" w:themeColor="text1" w:themeTint="80"/>
          <w:sz w:val="26"/>
          <w:szCs w:val="26"/>
        </w:rPr>
        <w:t>15 quince de mayo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AF59A6">
        <w:rPr>
          <w:rFonts w:ascii="Calibri" w:hAnsi="Calibri"/>
          <w:color w:val="7F7F7F" w:themeColor="text1" w:themeTint="80"/>
          <w:sz w:val="26"/>
          <w:szCs w:val="26"/>
        </w:rPr>
        <w:t>0262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CD56F6">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w:t>
      </w:r>
      <w:r w:rsidRPr="00BF5CA7">
        <w:rPr>
          <w:rFonts w:ascii="Calibri" w:hAnsi="Calibri"/>
          <w:color w:val="7F7F7F" w:themeColor="text1" w:themeTint="80"/>
          <w:sz w:val="26"/>
          <w:szCs w:val="26"/>
        </w:rPr>
        <w:lastRenderedPageBreak/>
        <w:t xml:space="preserve">Establecimientos Comerciales y de Servicios en el Municipio de León, Guanajuato, en vigor; en el establecimiento ubicado en el domicilio </w:t>
      </w:r>
      <w:r w:rsidR="00CD56F6">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r w:rsidR="00EB4186">
        <w:rPr>
          <w:rFonts w:ascii="Calibri" w:hAnsi="Calibri"/>
          <w:color w:val="7F7F7F" w:themeColor="text1" w:themeTint="80"/>
          <w:sz w:val="26"/>
          <w:szCs w:val="26"/>
        </w:rPr>
        <w:t>encargado</w:t>
      </w:r>
      <w:r w:rsidR="00AE1A6F">
        <w:rPr>
          <w:rFonts w:ascii="Calibri" w:hAnsi="Calibri"/>
          <w:color w:val="7F7F7F" w:themeColor="text1" w:themeTint="80"/>
          <w:sz w:val="26"/>
          <w:szCs w:val="26"/>
        </w:rPr>
        <w:t xml:space="preserve"> de</w:t>
      </w:r>
      <w:r w:rsidR="00EB4186">
        <w:rPr>
          <w:rFonts w:ascii="Calibri" w:hAnsi="Calibri"/>
          <w:color w:val="7F7F7F" w:themeColor="text1" w:themeTint="80"/>
          <w:sz w:val="26"/>
          <w:szCs w:val="26"/>
        </w:rPr>
        <w:t xml:space="preserve"> </w:t>
      </w:r>
      <w:r w:rsidR="00FE6FD0">
        <w:rPr>
          <w:rFonts w:ascii="Calibri" w:hAnsi="Calibri"/>
          <w:color w:val="7F7F7F" w:themeColor="text1" w:themeTint="80"/>
          <w:sz w:val="26"/>
          <w:szCs w:val="26"/>
        </w:rPr>
        <w:t>l</w:t>
      </w:r>
      <w:r w:rsidR="00EB4186">
        <w:rPr>
          <w:rFonts w:ascii="Calibri" w:hAnsi="Calibri"/>
          <w:color w:val="7F7F7F" w:themeColor="text1" w:themeTint="80"/>
          <w:sz w:val="26"/>
          <w:szCs w:val="26"/>
        </w:rPr>
        <w:t>a</w:t>
      </w:r>
      <w:r w:rsidR="00FE6FD0">
        <w:rPr>
          <w:rFonts w:ascii="Calibri" w:hAnsi="Calibri"/>
          <w:color w:val="7F7F7F" w:themeColor="text1" w:themeTint="80"/>
          <w:sz w:val="26"/>
          <w:szCs w:val="26"/>
        </w:rPr>
        <w:t xml:space="preserve"> </w:t>
      </w:r>
      <w:r w:rsidR="00EB4186">
        <w:rPr>
          <w:rFonts w:ascii="Calibri" w:hAnsi="Calibri"/>
          <w:color w:val="7F7F7F" w:themeColor="text1" w:themeTint="80"/>
          <w:sz w:val="26"/>
          <w:szCs w:val="26"/>
        </w:rPr>
        <w:t>tienda de abarrotes</w:t>
      </w:r>
      <w:r w:rsidR="00FE6FD0">
        <w:rPr>
          <w:rFonts w:ascii="Calibri" w:hAnsi="Calibri"/>
          <w:color w:val="7F7F7F" w:themeColor="text1" w:themeTint="80"/>
          <w:sz w:val="26"/>
          <w:szCs w:val="26"/>
        </w:rPr>
        <w:t xml:space="preserve"> inspeccionad</w:t>
      </w:r>
      <w:r w:rsidR="00EB4186">
        <w:rPr>
          <w:rFonts w:ascii="Calibri" w:hAnsi="Calibri"/>
          <w:color w:val="7F7F7F" w:themeColor="text1" w:themeTint="80"/>
          <w:sz w:val="26"/>
          <w:szCs w:val="26"/>
        </w:rPr>
        <w:t>a</w:t>
      </w:r>
      <w:r w:rsidR="00AE1A6F">
        <w:rPr>
          <w:rFonts w:ascii="Calibri" w:hAnsi="Calibri"/>
          <w:color w:val="7F7F7F" w:themeColor="text1" w:themeTint="80"/>
          <w:sz w:val="26"/>
          <w:szCs w:val="26"/>
        </w:rPr>
        <w:t xml:space="preserve">, </w:t>
      </w:r>
      <w:r w:rsidR="001C2561">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ciudadan</w:t>
      </w:r>
      <w:r w:rsidR="001C256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 ahora actor; procediendo a levantar un acta en la que se hizo constar el funcionamiento en el establecimiento, de </w:t>
      </w:r>
      <w:r w:rsidR="006965FB">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máquina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electrónica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w:t>
      </w:r>
      <w:r w:rsidR="00EB4186">
        <w:rPr>
          <w:rFonts w:ascii="Calibri" w:hAnsi="Calibri"/>
          <w:color w:val="7F7F7F" w:themeColor="text1" w:themeTint="80"/>
          <w:sz w:val="26"/>
          <w:szCs w:val="26"/>
        </w:rPr>
        <w:t xml:space="preserve">s.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EB4186"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AF59A6">
        <w:rPr>
          <w:rFonts w:ascii="Calibri" w:hAnsi="Calibri"/>
          <w:color w:val="7F7F7F" w:themeColor="text1" w:themeTint="80"/>
          <w:sz w:val="26"/>
          <w:szCs w:val="26"/>
        </w:rPr>
        <w:t>15 quince de mayo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AF59A6">
        <w:rPr>
          <w:rFonts w:ascii="Calibri" w:hAnsi="Calibri"/>
          <w:color w:val="7F7F7F" w:themeColor="text1" w:themeTint="80"/>
          <w:sz w:val="26"/>
          <w:szCs w:val="26"/>
        </w:rPr>
        <w:t>0262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xml:space="preserve">; y, </w:t>
      </w:r>
    </w:p>
    <w:p w:rsidR="00EB4186" w:rsidRDefault="00EB4186" w:rsidP="00EB418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524/2015-JN</w:t>
      </w:r>
    </w:p>
    <w:p w:rsidR="00EB4186" w:rsidRDefault="00EB4186" w:rsidP="004B3DFC">
      <w:pPr>
        <w:ind w:firstLine="708"/>
        <w:jc w:val="both"/>
        <w:rPr>
          <w:rFonts w:ascii="Calibri" w:hAnsi="Calibri"/>
          <w:color w:val="7F7F7F" w:themeColor="text1" w:themeTint="80"/>
          <w:sz w:val="26"/>
          <w:szCs w:val="26"/>
        </w:rPr>
      </w:pPr>
    </w:p>
    <w:p w:rsidR="004B3DFC" w:rsidRPr="00BF5CA7" w:rsidRDefault="006F74D0" w:rsidP="00EB4186">
      <w:pPr>
        <w:jc w:val="both"/>
        <w:rPr>
          <w:rFonts w:ascii="Calibri" w:hAnsi="Calibri"/>
          <w:color w:val="7F7F7F" w:themeColor="text1" w:themeTint="80"/>
          <w:sz w:val="26"/>
          <w:szCs w:val="26"/>
        </w:rPr>
      </w:pPr>
      <w:r>
        <w:rPr>
          <w:rFonts w:ascii="Calibri" w:hAnsi="Calibri"/>
          <w:color w:val="7F7F7F" w:themeColor="text1" w:themeTint="80"/>
          <w:sz w:val="26"/>
          <w:szCs w:val="26"/>
        </w:rPr>
        <w:t>el 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máquina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electrónica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de juegos de azar ubicada</w:t>
      </w:r>
      <w:r w:rsidR="006965FB">
        <w:rPr>
          <w:rFonts w:ascii="Calibri" w:hAnsi="Calibri"/>
          <w:color w:val="7F7F7F" w:themeColor="text1" w:themeTint="80"/>
          <w:sz w:val="26"/>
          <w:szCs w:val="26"/>
        </w:rPr>
        <w:t>s</w:t>
      </w:r>
      <w:r w:rsidR="004B3DFC"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EB4186">
        <w:rPr>
          <w:rFonts w:ascii="Calibri" w:hAnsi="Calibri" w:cs="Calibri"/>
          <w:iCs/>
          <w:color w:val="7F7F7F" w:themeColor="text1" w:themeTint="80"/>
          <w:sz w:val="26"/>
          <w:szCs w:val="26"/>
        </w:rPr>
        <w:t xml:space="preserve">.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EB4186">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EB4186">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w:t>
      </w:r>
      <w:r w:rsidR="00992C9C">
        <w:rPr>
          <w:rFonts w:asciiTheme="minorHAnsi" w:hAnsiTheme="minorHAnsi"/>
          <w:color w:val="7F7F7F" w:themeColor="text1" w:themeTint="80"/>
          <w:sz w:val="26"/>
          <w:szCs w:val="26"/>
        </w:rPr>
        <w:lastRenderedPageBreak/>
        <w:t>entiende en virtud de la colaboración solicitada por dicha dependencia, y no por iniciativa propia; como ocurre en el caso en concreto. . . . . . . . .</w:t>
      </w:r>
      <w:r w:rsidR="00D94B89">
        <w:rPr>
          <w:rFonts w:asciiTheme="minorHAnsi" w:hAnsiTheme="minorHAnsi"/>
          <w:color w:val="7F7F7F" w:themeColor="text1" w:themeTint="80"/>
          <w:sz w:val="26"/>
          <w:szCs w:val="26"/>
        </w:rPr>
        <w:t xml:space="preserve">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D94B89" w:rsidRDefault="00706056" w:rsidP="00A8545F">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D94B89" w:rsidRDefault="00D94B89" w:rsidP="00D94B8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524/2015-JN</w:t>
      </w:r>
    </w:p>
    <w:p w:rsidR="00D94B89" w:rsidRDefault="00D94B89" w:rsidP="00A8545F">
      <w:pPr>
        <w:pStyle w:val="Default"/>
        <w:ind w:firstLine="708"/>
        <w:jc w:val="both"/>
        <w:rPr>
          <w:rFonts w:asciiTheme="minorHAnsi" w:hAnsiTheme="minorHAnsi"/>
          <w:i/>
          <w:color w:val="767171" w:themeColor="background2" w:themeShade="80"/>
          <w:sz w:val="26"/>
          <w:szCs w:val="26"/>
        </w:rPr>
      </w:pPr>
    </w:p>
    <w:p w:rsidR="00343E70" w:rsidRPr="00A8545F" w:rsidRDefault="00A8545F" w:rsidP="00D94B89">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 xml:space="preserve">demandado para emitir ordenes de visita en materia de juegos </w:t>
      </w:r>
      <w:r w:rsidR="00DB641E">
        <w:rPr>
          <w:rFonts w:ascii="Calibri" w:hAnsi="Calibri" w:cs="Calibri"/>
          <w:bCs/>
          <w:iCs/>
          <w:color w:val="7F7F7F" w:themeColor="text1" w:themeTint="80"/>
          <w:sz w:val="26"/>
          <w:szCs w:val="26"/>
        </w:rPr>
        <w:lastRenderedPageBreak/>
        <w:t>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D94B89">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562A66" w:rsidRPr="00562A66">
        <w:rPr>
          <w:rFonts w:ascii="Calibri" w:hAnsi="Calibri" w:cs="Calibri"/>
          <w:b w:val="0"/>
          <w:bCs w:val="0"/>
          <w:iCs/>
          <w:color w:val="7F7F7F" w:themeColor="text1" w:themeTint="80"/>
          <w:sz w:val="26"/>
          <w:szCs w:val="26"/>
          <w:lang w:val="es-MX"/>
        </w:rPr>
        <w:t xml:space="preserve"> debe decirse que </w:t>
      </w:r>
      <w:r w:rsidR="00D94B89">
        <w:rPr>
          <w:rFonts w:ascii="Calibri" w:hAnsi="Calibri" w:cs="Calibri"/>
          <w:b w:val="0"/>
          <w:bCs w:val="0"/>
          <w:iCs/>
          <w:color w:val="7F7F7F" w:themeColor="text1" w:themeTint="80"/>
          <w:sz w:val="26"/>
          <w:szCs w:val="26"/>
          <w:lang w:val="es-MX"/>
        </w:rPr>
        <w:t xml:space="preserve">los </w:t>
      </w:r>
      <w:r w:rsidR="00D94B89" w:rsidRPr="00562A66">
        <w:rPr>
          <w:rFonts w:ascii="Calibri" w:hAnsi="Calibri" w:cs="Calibri"/>
          <w:b w:val="0"/>
          <w:bCs w:val="0"/>
          <w:iCs/>
          <w:color w:val="7F7F7F" w:themeColor="text1" w:themeTint="80"/>
          <w:sz w:val="26"/>
          <w:szCs w:val="26"/>
          <w:lang w:val="es-MX"/>
        </w:rPr>
        <w:t xml:space="preserve">artículos 30 y 31 del Reglamento para el funcionamiento de Establecimientos Comerciales y de servicios en el Municipio de León, Guanajuato </w:t>
      </w:r>
      <w:r w:rsidR="00562A66" w:rsidRPr="00562A66">
        <w:rPr>
          <w:rFonts w:ascii="Calibri" w:hAnsi="Calibri" w:cs="Calibri"/>
          <w:b w:val="0"/>
          <w:bCs w:val="0"/>
          <w:iCs/>
          <w:color w:val="7F7F7F" w:themeColor="text1" w:themeTint="80"/>
          <w:sz w:val="26"/>
          <w:szCs w:val="26"/>
          <w:lang w:val="es-MX"/>
        </w:rPr>
        <w:t>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sidR="00D94B89">
        <w:rPr>
          <w:rFonts w:ascii="Calibri" w:hAnsi="Calibri" w:cs="Calibri"/>
          <w:b w:val="0"/>
          <w:bCs w:val="0"/>
          <w:iCs/>
          <w:color w:val="7F7F7F" w:themeColor="text1" w:themeTint="80"/>
          <w:sz w:val="26"/>
          <w:szCs w:val="26"/>
          <w:lang w:val="es-MX"/>
        </w:rPr>
        <w:t xml:space="preserve">.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D94B89"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 xml:space="preserve">          </w:t>
      </w:r>
      <w:r w:rsidR="003D0B6B" w:rsidRPr="009661F2">
        <w:rPr>
          <w:rFonts w:ascii="Calibri" w:hAnsi="Calibri" w:cs="Calibri"/>
          <w:b w:val="0"/>
          <w:bCs w:val="0"/>
          <w:iCs/>
          <w:color w:val="767171" w:themeColor="background2" w:themeShade="80"/>
          <w:sz w:val="26"/>
          <w:szCs w:val="26"/>
          <w:lang w:val="es-MX"/>
        </w:rPr>
        <w:t>Ahora bien, las atribuciones d</w:t>
      </w:r>
      <w:r>
        <w:rPr>
          <w:rFonts w:ascii="Calibri" w:hAnsi="Calibri" w:cs="Calibri"/>
          <w:b w:val="0"/>
          <w:bCs w:val="0"/>
          <w:iCs/>
          <w:color w:val="767171" w:themeColor="background2" w:themeShade="80"/>
          <w:sz w:val="26"/>
          <w:szCs w:val="26"/>
          <w:lang w:val="es-MX"/>
        </w:rPr>
        <w:t>e la dependencia en cuestión, de</w:t>
      </w:r>
      <w:r w:rsidR="003D0B6B" w:rsidRPr="009661F2">
        <w:rPr>
          <w:rFonts w:ascii="Calibri" w:hAnsi="Calibri" w:cs="Calibri"/>
          <w:b w:val="0"/>
          <w:bCs w:val="0"/>
          <w:iCs/>
          <w:color w:val="767171" w:themeColor="background2" w:themeShade="80"/>
          <w:sz w:val="26"/>
          <w:szCs w:val="26"/>
          <w:lang w:val="es-MX"/>
        </w:rPr>
        <w:t xml:space="preserv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AF59A6">
        <w:rPr>
          <w:rFonts w:ascii="Calibri" w:hAnsi="Calibri"/>
          <w:b/>
          <w:color w:val="7F7F7F" w:themeColor="text1" w:themeTint="80"/>
          <w:sz w:val="26"/>
          <w:szCs w:val="26"/>
        </w:rPr>
        <w:t xml:space="preserve">15 </w:t>
      </w:r>
      <w:r w:rsidR="00AF59A6" w:rsidRPr="0005459F">
        <w:rPr>
          <w:rFonts w:ascii="Calibri" w:hAnsi="Calibri"/>
          <w:color w:val="7F7F7F" w:themeColor="text1" w:themeTint="80"/>
          <w:sz w:val="26"/>
          <w:szCs w:val="26"/>
        </w:rPr>
        <w:t>quince de</w:t>
      </w:r>
      <w:r w:rsidR="00AF59A6">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AF59A6">
        <w:rPr>
          <w:rFonts w:ascii="Calibri" w:hAnsi="Calibri"/>
          <w:b/>
          <w:color w:val="7F7F7F" w:themeColor="text1" w:themeTint="80"/>
          <w:sz w:val="26"/>
          <w:szCs w:val="26"/>
        </w:rPr>
        <w:t>0262</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w:t>
      </w:r>
      <w:r w:rsidR="00FA04C4" w:rsidRPr="00F9490B">
        <w:rPr>
          <w:rFonts w:ascii="Calibri" w:hAnsi="Calibri"/>
          <w:bCs/>
          <w:color w:val="7F7F7F" w:themeColor="text1" w:themeTint="80"/>
          <w:sz w:val="26"/>
          <w:szCs w:val="26"/>
        </w:rPr>
        <w:lastRenderedPageBreak/>
        <w:t>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D94B89">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D94B89"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p>
    <w:p w:rsidR="00D94B89" w:rsidRDefault="00D94B89" w:rsidP="00D94B8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524/2015-JN</w:t>
      </w:r>
    </w:p>
    <w:p w:rsidR="00D94B89" w:rsidRDefault="00D94B89"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D94B89">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BA5CFB">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AF59A6">
        <w:rPr>
          <w:rFonts w:ascii="Calibri" w:hAnsi="Calibri"/>
          <w:color w:val="7F7F7F" w:themeColor="text1" w:themeTint="80"/>
          <w:sz w:val="26"/>
          <w:szCs w:val="26"/>
        </w:rPr>
        <w:t>15 quince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w:t>
      </w:r>
      <w:r w:rsidR="0005459F">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w:t>
      </w:r>
      <w:r w:rsidR="0005459F">
        <w:rPr>
          <w:rFonts w:ascii="Calibri" w:hAnsi="Calibri"/>
          <w:color w:val="7F7F7F" w:themeColor="text1" w:themeTint="80"/>
          <w:sz w:val="26"/>
          <w:szCs w:val="26"/>
        </w:rPr>
        <w:t xml:space="preserve">2 dos </w:t>
      </w:r>
      <w:r w:rsidRPr="00BF5CA7">
        <w:rPr>
          <w:rFonts w:ascii="Calibri" w:hAnsi="Calibri"/>
          <w:color w:val="7F7F7F" w:themeColor="text1" w:themeTint="80"/>
          <w:sz w:val="26"/>
          <w:szCs w:val="26"/>
        </w:rPr>
        <w:t>máquina</w:t>
      </w:r>
      <w:r w:rsidR="0005459F">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de juegos de azar ubicada</w:t>
      </w:r>
      <w:r w:rsidR="0005459F">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en el interior del establecimiento visitado. . </w:t>
      </w:r>
      <w:r>
        <w:rPr>
          <w:rFonts w:ascii="Calibri" w:hAnsi="Calibri"/>
          <w:color w:val="7F7F7F" w:themeColor="text1" w:themeTint="80"/>
          <w:sz w:val="26"/>
          <w:szCs w:val="26"/>
        </w:rPr>
        <w:t xml:space="preserve">. . </w:t>
      </w:r>
      <w:r w:rsidR="0024162B">
        <w:rPr>
          <w:rFonts w:ascii="Calibri" w:hAnsi="Calibri"/>
          <w:color w:val="7F7F7F" w:themeColor="text1" w:themeTint="80"/>
          <w:sz w:val="26"/>
          <w:szCs w:val="26"/>
        </w:rPr>
        <w:t xml:space="preserve">.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B20161">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CD56F6">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B20161">
        <w:rPr>
          <w:rFonts w:ascii="Calibri" w:hAnsi="Calibri" w:cs="Arial"/>
          <w:color w:val="7F7F7F" w:themeColor="text1" w:themeTint="80"/>
          <w:sz w:val="26"/>
          <w:szCs w:val="26"/>
        </w:rPr>
        <w:t xml:space="preserve">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AF59A6">
        <w:rPr>
          <w:rFonts w:ascii="Calibri" w:hAnsi="Calibri"/>
          <w:b/>
          <w:color w:val="7F7F7F" w:themeColor="text1" w:themeTint="80"/>
          <w:sz w:val="26"/>
          <w:szCs w:val="26"/>
        </w:rPr>
        <w:t xml:space="preserve">15 </w:t>
      </w:r>
      <w:r w:rsidR="00AF59A6" w:rsidRPr="0005459F">
        <w:rPr>
          <w:rFonts w:ascii="Calibri" w:hAnsi="Calibri"/>
          <w:color w:val="7F7F7F" w:themeColor="text1" w:themeTint="80"/>
          <w:sz w:val="26"/>
          <w:szCs w:val="26"/>
        </w:rPr>
        <w:t>quince de</w:t>
      </w:r>
      <w:r w:rsidR="00AF59A6">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AF59A6">
        <w:rPr>
          <w:rFonts w:ascii="Calibri" w:hAnsi="Calibri"/>
          <w:b/>
          <w:color w:val="7F7F7F" w:themeColor="text1" w:themeTint="80"/>
          <w:sz w:val="26"/>
          <w:szCs w:val="26"/>
        </w:rPr>
        <w:t>0262</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w:t>
      </w:r>
      <w:r w:rsidR="00656D08" w:rsidRPr="00656D08">
        <w:rPr>
          <w:rFonts w:ascii="Calibri" w:hAnsi="Calibri"/>
          <w:bCs/>
          <w:color w:val="7F7F7F" w:themeColor="text1" w:themeTint="80"/>
          <w:sz w:val="26"/>
          <w:szCs w:val="26"/>
        </w:rPr>
        <w:lastRenderedPageBreak/>
        <w:t>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 </w:t>
      </w:r>
      <w:r w:rsidR="007241BE">
        <w:rPr>
          <w:rFonts w:ascii="Calibri" w:hAnsi="Calibri" w:cs="Arial"/>
          <w:color w:val="7F7F7F" w:themeColor="text1" w:themeTint="80"/>
          <w:sz w:val="26"/>
          <w:szCs w:val="26"/>
        </w:rPr>
        <w:t xml:space="preserve">.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AF59A6">
        <w:rPr>
          <w:rFonts w:ascii="Calibri" w:hAnsi="Calibri"/>
          <w:color w:val="7F7F7F" w:themeColor="text1" w:themeTint="80"/>
          <w:sz w:val="26"/>
          <w:szCs w:val="26"/>
        </w:rPr>
        <w:t>15 quince de mayo</w:t>
      </w:r>
      <w:r w:rsidR="008E0AB6" w:rsidRPr="00BF5CA7">
        <w:rPr>
          <w:rFonts w:ascii="Calibri" w:hAnsi="Calibri"/>
          <w:color w:val="7F7F7F" w:themeColor="text1" w:themeTint="80"/>
          <w:sz w:val="26"/>
          <w:szCs w:val="26"/>
        </w:rPr>
        <w:t xml:space="preserve"> del año 2015 dos mil quince, sobre </w:t>
      </w:r>
      <w:r w:rsidR="0005459F">
        <w:rPr>
          <w:rFonts w:ascii="Calibri" w:hAnsi="Calibri"/>
          <w:color w:val="7F7F7F" w:themeColor="text1" w:themeTint="80"/>
          <w:sz w:val="26"/>
          <w:szCs w:val="26"/>
        </w:rPr>
        <w:t>2 dos</w:t>
      </w:r>
      <w:r w:rsidR="008E0AB6" w:rsidRPr="00BF5CA7">
        <w:rPr>
          <w:rFonts w:ascii="Calibri" w:hAnsi="Calibri"/>
          <w:color w:val="7F7F7F" w:themeColor="text1" w:themeTint="80"/>
          <w:sz w:val="26"/>
          <w:szCs w:val="26"/>
        </w:rPr>
        <w:t xml:space="preserve"> máquina</w:t>
      </w:r>
      <w:r w:rsidR="0005459F">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w:t>
      </w:r>
      <w:r w:rsidR="008E0AB6">
        <w:rPr>
          <w:rFonts w:ascii="Calibri" w:hAnsi="Calibri"/>
          <w:color w:val="7F7F7F" w:themeColor="text1" w:themeTint="80"/>
          <w:sz w:val="26"/>
          <w:szCs w:val="26"/>
        </w:rPr>
        <w:t>electrónica</w:t>
      </w:r>
      <w:r w:rsidR="0005459F">
        <w:rPr>
          <w:rFonts w:ascii="Calibri" w:hAnsi="Calibri"/>
          <w:color w:val="7F7F7F" w:themeColor="text1" w:themeTint="80"/>
          <w:sz w:val="26"/>
          <w:szCs w:val="26"/>
        </w:rPr>
        <w:t>s</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w:t>
      </w:r>
      <w:r w:rsidR="0005459F">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en el interior del establecimiento localizado </w:t>
      </w:r>
      <w:bookmarkStart w:id="0" w:name="_GoBack"/>
      <w:r w:rsidR="00CD56F6">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547927">
        <w:rPr>
          <w:rFonts w:ascii="Calibri" w:hAnsi="Calibri" w:cs="Calibri"/>
          <w:color w:val="7F7F7F" w:themeColor="text1" w:themeTint="80"/>
          <w:sz w:val="26"/>
          <w:szCs w:val="26"/>
        </w:rPr>
        <w:t xml:space="preserve">.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CC2370">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CC2370" w:rsidRDefault="00CC2370" w:rsidP="004B3DFC">
      <w:pPr>
        <w:ind w:firstLine="708"/>
        <w:jc w:val="both"/>
        <w:rPr>
          <w:rFonts w:ascii="Calibri" w:hAnsi="Calibri" w:cs="Arial"/>
          <w:color w:val="7F7F7F" w:themeColor="text1" w:themeTint="80"/>
          <w:sz w:val="26"/>
          <w:szCs w:val="26"/>
        </w:rPr>
      </w:pPr>
    </w:p>
    <w:p w:rsidR="00CC2370" w:rsidRDefault="00CC2370" w:rsidP="00CC237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524/2015-JN</w:t>
      </w:r>
    </w:p>
    <w:p w:rsidR="00CC2370" w:rsidRDefault="00CC2370" w:rsidP="004B3DFC">
      <w:pPr>
        <w:ind w:firstLine="708"/>
        <w:jc w:val="both"/>
        <w:rPr>
          <w:rFonts w:ascii="Calibri" w:hAnsi="Calibri" w:cs="Arial"/>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Default="00CC2370"/>
    <w:p w:rsidR="00CC2370" w:rsidRPr="00D06360" w:rsidRDefault="00CC2370" w:rsidP="00CC2370">
      <w:pPr>
        <w:ind w:firstLine="708"/>
        <w:jc w:val="both"/>
        <w:rPr>
          <w:rFonts w:asciiTheme="minorHAnsi" w:hAnsiTheme="minorHAnsi"/>
          <w:b/>
          <w:color w:val="767171" w:themeColor="background2" w:themeShade="80"/>
        </w:rPr>
      </w:pPr>
      <w:r w:rsidRPr="00D06360">
        <w:rPr>
          <w:rFonts w:asciiTheme="minorHAnsi" w:hAnsiTheme="minorHAnsi"/>
          <w:b/>
          <w:color w:val="767171" w:themeColor="background2" w:themeShade="80"/>
        </w:rPr>
        <w:t xml:space="preserve">LA PRESENTE FOJA FORMA PARTE DE LA SENTENCIA DICTADA EL DÍA 10 DIEZ DE MARZO DEL AÑO 2017 DOS MIL DICIESIETE, EN EL PROCESO ADMINISTRATIVO CON NÚMERO DE EXPEDIENTE </w:t>
      </w:r>
      <w:r>
        <w:rPr>
          <w:rFonts w:asciiTheme="minorHAnsi" w:hAnsiTheme="minorHAnsi"/>
          <w:b/>
          <w:color w:val="767171" w:themeColor="background2" w:themeShade="80"/>
        </w:rPr>
        <w:t>52</w:t>
      </w:r>
      <w:r w:rsidRPr="00D06360">
        <w:rPr>
          <w:rFonts w:asciiTheme="minorHAnsi" w:hAnsiTheme="minorHAnsi"/>
          <w:b/>
          <w:color w:val="767171" w:themeColor="background2" w:themeShade="80"/>
        </w:rPr>
        <w:t>4/2015-JN.</w:t>
      </w:r>
      <w:r>
        <w:rPr>
          <w:rFonts w:asciiTheme="minorHAnsi" w:hAnsiTheme="minorHAnsi"/>
          <w:b/>
          <w:color w:val="767171" w:themeColor="background2" w:themeShade="80"/>
        </w:rPr>
        <w:t xml:space="preserve"> . . . . . . . . . . . . . . . . . . . . . . . . . . . . . . . . . . . . . . . </w:t>
      </w:r>
    </w:p>
    <w:p w:rsidR="00CC2370" w:rsidRDefault="00CC2370"/>
    <w:sectPr w:rsidR="00CC2370"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D0" w:rsidRDefault="00825AD0">
      <w:r>
        <w:separator/>
      </w:r>
    </w:p>
  </w:endnote>
  <w:endnote w:type="continuationSeparator" w:id="0">
    <w:p w:rsidR="00825AD0" w:rsidRDefault="0082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D0" w:rsidRDefault="00825AD0">
      <w:r>
        <w:separator/>
      </w:r>
    </w:p>
  </w:footnote>
  <w:footnote w:type="continuationSeparator" w:id="0">
    <w:p w:rsidR="00825AD0" w:rsidRDefault="00825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825A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56F6">
      <w:rPr>
        <w:rStyle w:val="Nmerodepgina"/>
        <w:noProof/>
      </w:rPr>
      <w:t>2</w:t>
    </w:r>
    <w:r>
      <w:rPr>
        <w:rStyle w:val="Nmerodepgina"/>
      </w:rPr>
      <w:fldChar w:fldCharType="end"/>
    </w:r>
  </w:p>
  <w:p w:rsidR="00A70119" w:rsidRDefault="00825A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0C1B"/>
    <w:rsid w:val="00012BEF"/>
    <w:rsid w:val="00014356"/>
    <w:rsid w:val="00020C56"/>
    <w:rsid w:val="000314EF"/>
    <w:rsid w:val="00037731"/>
    <w:rsid w:val="0005459F"/>
    <w:rsid w:val="00074B0E"/>
    <w:rsid w:val="000909AE"/>
    <w:rsid w:val="000954F8"/>
    <w:rsid w:val="000A476C"/>
    <w:rsid w:val="000A4ED3"/>
    <w:rsid w:val="000B4397"/>
    <w:rsid w:val="000C6B3D"/>
    <w:rsid w:val="000D6D33"/>
    <w:rsid w:val="000E019D"/>
    <w:rsid w:val="000F12ED"/>
    <w:rsid w:val="00114938"/>
    <w:rsid w:val="00134594"/>
    <w:rsid w:val="00140A1C"/>
    <w:rsid w:val="001713D8"/>
    <w:rsid w:val="0018462E"/>
    <w:rsid w:val="00193C54"/>
    <w:rsid w:val="001C1EB4"/>
    <w:rsid w:val="001C2561"/>
    <w:rsid w:val="001E492B"/>
    <w:rsid w:val="00202A4D"/>
    <w:rsid w:val="00231AD0"/>
    <w:rsid w:val="0024162B"/>
    <w:rsid w:val="00245DB1"/>
    <w:rsid w:val="002802A8"/>
    <w:rsid w:val="00281593"/>
    <w:rsid w:val="002919BC"/>
    <w:rsid w:val="00295DA4"/>
    <w:rsid w:val="002974BB"/>
    <w:rsid w:val="003014BF"/>
    <w:rsid w:val="00306E62"/>
    <w:rsid w:val="00323B18"/>
    <w:rsid w:val="00343E70"/>
    <w:rsid w:val="00345365"/>
    <w:rsid w:val="00355D69"/>
    <w:rsid w:val="00363074"/>
    <w:rsid w:val="0038550B"/>
    <w:rsid w:val="003C319B"/>
    <w:rsid w:val="003D0B6B"/>
    <w:rsid w:val="003F0CFE"/>
    <w:rsid w:val="0041005A"/>
    <w:rsid w:val="004328C1"/>
    <w:rsid w:val="00436BB1"/>
    <w:rsid w:val="00471843"/>
    <w:rsid w:val="0047616C"/>
    <w:rsid w:val="0047708E"/>
    <w:rsid w:val="0049794B"/>
    <w:rsid w:val="004A41DC"/>
    <w:rsid w:val="004B3DFC"/>
    <w:rsid w:val="004C212B"/>
    <w:rsid w:val="004D0AE9"/>
    <w:rsid w:val="004E2B17"/>
    <w:rsid w:val="00547927"/>
    <w:rsid w:val="00562A66"/>
    <w:rsid w:val="00562F72"/>
    <w:rsid w:val="0056522F"/>
    <w:rsid w:val="00577C15"/>
    <w:rsid w:val="0058081E"/>
    <w:rsid w:val="005820E3"/>
    <w:rsid w:val="005A1EAD"/>
    <w:rsid w:val="005A24AC"/>
    <w:rsid w:val="005C1EF8"/>
    <w:rsid w:val="005D15CD"/>
    <w:rsid w:val="006071F6"/>
    <w:rsid w:val="0064042F"/>
    <w:rsid w:val="00656D08"/>
    <w:rsid w:val="00676CB0"/>
    <w:rsid w:val="00684D24"/>
    <w:rsid w:val="00685ED2"/>
    <w:rsid w:val="006965FB"/>
    <w:rsid w:val="006B0FF3"/>
    <w:rsid w:val="006D41F4"/>
    <w:rsid w:val="006D775F"/>
    <w:rsid w:val="006E1F7A"/>
    <w:rsid w:val="006E5AA9"/>
    <w:rsid w:val="006F3DF8"/>
    <w:rsid w:val="006F63DA"/>
    <w:rsid w:val="006F74D0"/>
    <w:rsid w:val="0070292F"/>
    <w:rsid w:val="00706056"/>
    <w:rsid w:val="00711C4D"/>
    <w:rsid w:val="007241BE"/>
    <w:rsid w:val="007278D8"/>
    <w:rsid w:val="00736742"/>
    <w:rsid w:val="00753AE5"/>
    <w:rsid w:val="00770977"/>
    <w:rsid w:val="00781737"/>
    <w:rsid w:val="00784CB8"/>
    <w:rsid w:val="00786941"/>
    <w:rsid w:val="007926D3"/>
    <w:rsid w:val="007B3DCF"/>
    <w:rsid w:val="007B6A26"/>
    <w:rsid w:val="007D2B9C"/>
    <w:rsid w:val="007D6748"/>
    <w:rsid w:val="007D67C9"/>
    <w:rsid w:val="007F5B3D"/>
    <w:rsid w:val="007F7788"/>
    <w:rsid w:val="0080464C"/>
    <w:rsid w:val="008063DD"/>
    <w:rsid w:val="00825AD0"/>
    <w:rsid w:val="00832B72"/>
    <w:rsid w:val="00833B37"/>
    <w:rsid w:val="00834317"/>
    <w:rsid w:val="00870C63"/>
    <w:rsid w:val="00882A95"/>
    <w:rsid w:val="008A2924"/>
    <w:rsid w:val="008A53D5"/>
    <w:rsid w:val="008A5D63"/>
    <w:rsid w:val="008B3307"/>
    <w:rsid w:val="008B535A"/>
    <w:rsid w:val="008B6F66"/>
    <w:rsid w:val="008C282C"/>
    <w:rsid w:val="008C61C6"/>
    <w:rsid w:val="008E0AB6"/>
    <w:rsid w:val="008F0CF4"/>
    <w:rsid w:val="00920B03"/>
    <w:rsid w:val="009429E2"/>
    <w:rsid w:val="009466BA"/>
    <w:rsid w:val="00951162"/>
    <w:rsid w:val="00951532"/>
    <w:rsid w:val="009661F2"/>
    <w:rsid w:val="00975F88"/>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7819"/>
    <w:rsid w:val="00A97A65"/>
    <w:rsid w:val="00AB7C8F"/>
    <w:rsid w:val="00AC206B"/>
    <w:rsid w:val="00AC308A"/>
    <w:rsid w:val="00AE1A6F"/>
    <w:rsid w:val="00AE3E7D"/>
    <w:rsid w:val="00AF59A6"/>
    <w:rsid w:val="00B05B82"/>
    <w:rsid w:val="00B106D7"/>
    <w:rsid w:val="00B20161"/>
    <w:rsid w:val="00B240E8"/>
    <w:rsid w:val="00B265A7"/>
    <w:rsid w:val="00B427DE"/>
    <w:rsid w:val="00B62D66"/>
    <w:rsid w:val="00B65360"/>
    <w:rsid w:val="00B75A23"/>
    <w:rsid w:val="00B75DD6"/>
    <w:rsid w:val="00BA5CFB"/>
    <w:rsid w:val="00BB36E8"/>
    <w:rsid w:val="00BC5DA4"/>
    <w:rsid w:val="00BF0BF6"/>
    <w:rsid w:val="00BF6197"/>
    <w:rsid w:val="00C10076"/>
    <w:rsid w:val="00C10164"/>
    <w:rsid w:val="00C22DC8"/>
    <w:rsid w:val="00C464F2"/>
    <w:rsid w:val="00C46636"/>
    <w:rsid w:val="00C72228"/>
    <w:rsid w:val="00C73B77"/>
    <w:rsid w:val="00CA2C14"/>
    <w:rsid w:val="00CA30B5"/>
    <w:rsid w:val="00CC2370"/>
    <w:rsid w:val="00CC78CE"/>
    <w:rsid w:val="00CD55B1"/>
    <w:rsid w:val="00CD56F6"/>
    <w:rsid w:val="00CE396D"/>
    <w:rsid w:val="00CF7B38"/>
    <w:rsid w:val="00D1202C"/>
    <w:rsid w:val="00D14E8F"/>
    <w:rsid w:val="00D30188"/>
    <w:rsid w:val="00D4766E"/>
    <w:rsid w:val="00D478D7"/>
    <w:rsid w:val="00D562CA"/>
    <w:rsid w:val="00D61484"/>
    <w:rsid w:val="00D77803"/>
    <w:rsid w:val="00D77B11"/>
    <w:rsid w:val="00D94B89"/>
    <w:rsid w:val="00DB641E"/>
    <w:rsid w:val="00DE0314"/>
    <w:rsid w:val="00DF3D78"/>
    <w:rsid w:val="00DF3DD6"/>
    <w:rsid w:val="00DF5C93"/>
    <w:rsid w:val="00E0072D"/>
    <w:rsid w:val="00E16C1B"/>
    <w:rsid w:val="00E31BEB"/>
    <w:rsid w:val="00E50512"/>
    <w:rsid w:val="00E54AA9"/>
    <w:rsid w:val="00E77635"/>
    <w:rsid w:val="00E83986"/>
    <w:rsid w:val="00E950DE"/>
    <w:rsid w:val="00E959B2"/>
    <w:rsid w:val="00EA36B8"/>
    <w:rsid w:val="00EA4780"/>
    <w:rsid w:val="00EA47B6"/>
    <w:rsid w:val="00EB4186"/>
    <w:rsid w:val="00EC7D6A"/>
    <w:rsid w:val="00EE4879"/>
    <w:rsid w:val="00F04968"/>
    <w:rsid w:val="00F52045"/>
    <w:rsid w:val="00F54858"/>
    <w:rsid w:val="00F95EF2"/>
    <w:rsid w:val="00FA04C4"/>
    <w:rsid w:val="00FA5C47"/>
    <w:rsid w:val="00FA79FD"/>
    <w:rsid w:val="00FB227A"/>
    <w:rsid w:val="00FB6D86"/>
    <w:rsid w:val="00FC2718"/>
    <w:rsid w:val="00FC2859"/>
    <w:rsid w:val="00FC6D4E"/>
    <w:rsid w:val="00FD5D57"/>
    <w:rsid w:val="00FD788E"/>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373191553">
      <w:bodyDiv w:val="1"/>
      <w:marLeft w:val="0"/>
      <w:marRight w:val="0"/>
      <w:marTop w:val="0"/>
      <w:marBottom w:val="0"/>
      <w:divBdr>
        <w:top w:val="none" w:sz="0" w:space="0" w:color="auto"/>
        <w:left w:val="none" w:sz="0" w:space="0" w:color="auto"/>
        <w:bottom w:val="none" w:sz="0" w:space="0" w:color="auto"/>
        <w:right w:val="none" w:sz="0" w:space="0" w:color="auto"/>
      </w:divBdr>
    </w:div>
    <w:div w:id="1534074187">
      <w:bodyDiv w:val="1"/>
      <w:marLeft w:val="0"/>
      <w:marRight w:val="0"/>
      <w:marTop w:val="0"/>
      <w:marBottom w:val="0"/>
      <w:divBdr>
        <w:top w:val="none" w:sz="0" w:space="0" w:color="auto"/>
        <w:left w:val="none" w:sz="0" w:space="0" w:color="auto"/>
        <w:bottom w:val="none" w:sz="0" w:space="0" w:color="auto"/>
        <w:right w:val="none" w:sz="0" w:space="0" w:color="auto"/>
      </w:divBdr>
    </w:div>
    <w:div w:id="17543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2017-04-28T14:03:00Z</dcterms:created>
  <dcterms:modified xsi:type="dcterms:W3CDTF">2017-04-28T14:03:00Z</dcterms:modified>
</cp:coreProperties>
</file>